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宁夏工业学校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信息化</w:t>
      </w:r>
      <w:r>
        <w:rPr>
          <w:rFonts w:hint="eastAsia" w:ascii="方正小标宋_GBK" w:eastAsia="方正小标宋_GBK"/>
          <w:sz w:val="36"/>
          <w:szCs w:val="36"/>
        </w:rPr>
        <w:t>课堂应用考核办法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为进一步加强我校课堂教学信息化</w:t>
      </w:r>
      <w:r>
        <w:rPr>
          <w:rFonts w:hint="eastAsia" w:ascii="仿宋" w:hAnsi="仿宋" w:eastAsia="仿宋"/>
          <w:sz w:val="32"/>
          <w:szCs w:val="32"/>
          <w:lang w:eastAsia="zh-CN"/>
        </w:rPr>
        <w:t>水平</w:t>
      </w:r>
      <w:r>
        <w:rPr>
          <w:rFonts w:hint="eastAsia" w:ascii="仿宋" w:hAnsi="仿宋" w:eastAsia="仿宋"/>
          <w:sz w:val="32"/>
          <w:szCs w:val="32"/>
        </w:rPr>
        <w:t>，不断提高我校教师信息化教学</w:t>
      </w:r>
      <w:r>
        <w:rPr>
          <w:rFonts w:hint="eastAsia" w:ascii="仿宋" w:hAnsi="仿宋" w:eastAsia="仿宋"/>
          <w:sz w:val="32"/>
          <w:szCs w:val="32"/>
          <w:lang w:eastAsia="zh-CN"/>
        </w:rPr>
        <w:t>素养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着力打造有效智慧课堂，</w:t>
      </w:r>
      <w:r>
        <w:rPr>
          <w:rFonts w:hint="eastAsia" w:ascii="仿宋" w:hAnsi="仿宋" w:eastAsia="仿宋"/>
          <w:sz w:val="32"/>
          <w:szCs w:val="32"/>
        </w:rPr>
        <w:t>特制定本办法。</w:t>
      </w:r>
      <w:r>
        <w:rPr>
          <w:rFonts w:hint="eastAsia"/>
          <w:color w:val="1E1C11" w:themeColor="background2" w:themeShade="1A"/>
          <w:sz w:val="32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考核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学校</w:t>
      </w:r>
      <w:r>
        <w:rPr>
          <w:rFonts w:hint="eastAsia" w:ascii="仿宋" w:hAnsi="仿宋" w:eastAsia="仿宋"/>
          <w:color w:val="auto"/>
          <w:sz w:val="32"/>
          <w:szCs w:val="32"/>
        </w:rPr>
        <w:t>全体</w:t>
      </w:r>
      <w:r>
        <w:rPr>
          <w:rFonts w:ascii="仿宋" w:hAnsi="仿宋" w:eastAsia="仿宋"/>
          <w:color w:val="auto"/>
          <w:sz w:val="32"/>
          <w:szCs w:val="32"/>
        </w:rPr>
        <w:t>任课教师。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ascii="仿宋" w:hAnsi="仿宋" w:eastAsia="仿宋"/>
          <w:b/>
          <w:bCs/>
          <w:sz w:val="32"/>
          <w:szCs w:val="32"/>
        </w:rPr>
        <w:t>考核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关于卓智平台的使用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要求全体教师使用卓智平台进行备课、授课。所有资源上传到平台，上课过程不得使用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U盘，直接从平台导入使用，教师熟练使用卓智平台的相关教学功能并充分应用在课前、课中、课后的教学过程中。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关于教学资源的制作。教学资源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要求类型丰富，避免过于单一，内容要求贴合学生实际，易于学生接受，以吸引学生注意力，提高教学效率为目标。教师上传资源格式</w:t>
      </w:r>
      <w:r>
        <w:rPr>
          <w:rFonts w:hint="eastAsia" w:ascii="仿宋" w:hAnsi="仿宋" w:eastAsia="仿宋" w:cs="仿宋"/>
          <w:sz w:val="32"/>
          <w:szCs w:val="32"/>
        </w:rPr>
        <w:t>包括文本类素材、图形（图像）类素材、音频类素材、视频类素材、动画类素材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等，其中文本类资源要求逻辑严谨，设计合理，过程完整，图文及音视频类资源要求内容清晰，播放流畅。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上传资源时请将命名细化，通过阅读文件命名让人对所传资源内容一目了然，避免只写某某课程某某节。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教学资源上传成功后教师不得随意删除，资源设置全员共享。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3.关于信息化素养的要求。教师能娴熟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地运用卓智平台或其他辅助教学的软、硬件设备进行网络搜索获取及处理信息，最终把信息技术融合到日常教学中。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</w:t>
      </w:r>
      <w:r>
        <w:rPr>
          <w:rFonts w:ascii="仿宋" w:hAnsi="仿宋" w:eastAsia="仿宋"/>
          <w:b/>
          <w:bCs/>
          <w:sz w:val="32"/>
          <w:szCs w:val="32"/>
        </w:rPr>
        <w:t>考核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学校成立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课堂教学</w:t>
      </w:r>
      <w:r>
        <w:rPr>
          <w:rFonts w:ascii="仿宋" w:hAnsi="仿宋" w:eastAsia="仿宋"/>
          <w:sz w:val="32"/>
          <w:szCs w:val="32"/>
        </w:rPr>
        <w:t>考核工作小组，切实加强此项工作的组织领导。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各专业部（院）课堂教学督导小组通过听、评课的方式</w:t>
      </w:r>
      <w:r>
        <w:rPr>
          <w:rFonts w:ascii="仿宋" w:hAnsi="仿宋" w:eastAsia="仿宋"/>
          <w:sz w:val="32"/>
          <w:szCs w:val="32"/>
        </w:rPr>
        <w:t>量化考核任课教师</w:t>
      </w:r>
      <w:r>
        <w:rPr>
          <w:rFonts w:hint="eastAsia" w:ascii="仿宋" w:hAnsi="仿宋" w:eastAsia="仿宋"/>
          <w:sz w:val="32"/>
          <w:szCs w:val="32"/>
          <w:lang w:eastAsia="zh-CN"/>
        </w:rPr>
        <w:t>并将考核结果记入师德业绩档案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教务处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将根据</w:t>
      </w:r>
      <w:r>
        <w:rPr>
          <w:rFonts w:hint="eastAsia" w:ascii="仿宋" w:hAnsi="仿宋" w:eastAsia="仿宋"/>
          <w:sz w:val="32"/>
          <w:szCs w:val="32"/>
          <w:lang w:eastAsia="zh-CN"/>
        </w:rPr>
        <w:t>不定时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对教师</w:t>
      </w:r>
      <w:r>
        <w:rPr>
          <w:rFonts w:hint="eastAsia" w:ascii="仿宋" w:hAnsi="仿宋" w:eastAsia="仿宋"/>
          <w:sz w:val="32"/>
          <w:szCs w:val="32"/>
          <w:lang w:eastAsia="zh-CN"/>
        </w:rPr>
        <w:t>听、评课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情况以及专业部（院）师德业绩考核档案中对教师信息化课堂考核情况</w:t>
      </w:r>
      <w:r>
        <w:rPr>
          <w:rFonts w:hint="eastAsia" w:ascii="仿宋" w:hAnsi="仿宋" w:eastAsia="仿宋"/>
          <w:sz w:val="32"/>
          <w:szCs w:val="32"/>
          <w:lang w:eastAsia="zh-CN"/>
        </w:rPr>
        <w:t>，纳入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月度</w:t>
      </w:r>
      <w:r>
        <w:rPr>
          <w:rFonts w:hint="eastAsia" w:ascii="仿宋" w:hAnsi="仿宋" w:eastAsia="仿宋"/>
          <w:sz w:val="32"/>
          <w:szCs w:val="32"/>
          <w:lang w:eastAsia="zh-CN"/>
        </w:rPr>
        <w:t>考核结果。具体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/>
          <w:sz w:val="32"/>
          <w:szCs w:val="32"/>
          <w:lang w:eastAsia="zh-CN"/>
        </w:rPr>
        <w:t>标准参考附件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r>
        <w:rPr>
          <w:rFonts w:ascii="仿宋" w:hAnsi="仿宋" w:eastAsia="仿宋"/>
          <w:b/>
          <w:bCs/>
          <w:sz w:val="32"/>
          <w:szCs w:val="32"/>
        </w:rPr>
        <w:t>考核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结果应用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通过考核发现优秀的教学成果要将该教师的教学模式进行推广，并将其系列课程朝精品课程方向打造。对于信息化使用情况不合格的教师，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纳入师德业绩考核档案，</w:t>
      </w:r>
      <w:r>
        <w:rPr>
          <w:rFonts w:hint="eastAsia" w:ascii="仿宋" w:hAnsi="仿宋" w:eastAsia="仿宋"/>
          <w:sz w:val="32"/>
          <w:szCs w:val="32"/>
          <w:lang w:eastAsia="zh-CN"/>
        </w:rPr>
        <w:t>将评价结果及时通报给教师本人，并要求教师马上进行整改。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本办法自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通知</w:t>
      </w:r>
      <w:r>
        <w:rPr>
          <w:rFonts w:ascii="仿宋" w:hAnsi="仿宋" w:eastAsia="仿宋"/>
          <w:sz w:val="32"/>
          <w:szCs w:val="32"/>
        </w:rPr>
        <w:t xml:space="preserve">之日起实行 </w:t>
      </w:r>
    </w:p>
    <w:p>
      <w:pPr>
        <w:spacing w:line="560" w:lineRule="exact"/>
        <w:ind w:firstLine="6720" w:firstLineChars="21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教务处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附件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1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/>
          <w:b/>
          <w:sz w:val="32"/>
          <w:szCs w:val="32"/>
        </w:rPr>
        <w:t>宁夏工业学校教师课堂教学质量评价表</w:t>
      </w:r>
    </w:p>
    <w:tbl>
      <w:tblPr>
        <w:tblStyle w:val="3"/>
        <w:tblW w:w="10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92"/>
        <w:gridCol w:w="1021"/>
        <w:gridCol w:w="2126"/>
        <w:gridCol w:w="3260"/>
        <w:gridCol w:w="1400"/>
        <w:gridCol w:w="7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教师姓名：</w:t>
            </w:r>
          </w:p>
        </w:tc>
        <w:tc>
          <w:tcPr>
            <w:tcW w:w="53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所属专业部（院）：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听课教师：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665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课程名称：</w:t>
            </w:r>
          </w:p>
        </w:tc>
        <w:tc>
          <w:tcPr>
            <w:tcW w:w="326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授课班级：</w:t>
            </w:r>
          </w:p>
        </w:tc>
        <w:tc>
          <w:tcPr>
            <w:tcW w:w="2820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评价项目</w:t>
            </w:r>
          </w:p>
        </w:tc>
        <w:tc>
          <w:tcPr>
            <w:tcW w:w="780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评      价     标    准      </w:t>
            </w:r>
          </w:p>
        </w:tc>
        <w:tc>
          <w:tcPr>
            <w:tcW w:w="7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权重</w:t>
            </w:r>
          </w:p>
        </w:tc>
        <w:tc>
          <w:tcPr>
            <w:tcW w:w="7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性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教学目标</w:t>
            </w:r>
          </w:p>
        </w:tc>
        <w:tc>
          <w:tcPr>
            <w:tcW w:w="7807" w:type="dxa"/>
            <w:gridSpan w:val="4"/>
            <w:noWrap w:val="0"/>
            <w:vAlign w:val="center"/>
          </w:tcPr>
          <w:p>
            <w:pPr>
              <w:ind w:left="210" w:hanging="220" w:hanging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知识、能力、价值观目标明确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10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noWrap w:val="0"/>
            <w:vAlign w:val="center"/>
          </w:tcPr>
          <w:p>
            <w:pPr>
              <w:ind w:left="210" w:hanging="220" w:hanging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符合专业培养目标和职业素质（课程标准和职业资格标准）要求，符合学生实际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noWrap w:val="0"/>
            <w:vAlign w:val="center"/>
          </w:tcPr>
          <w:p>
            <w:pPr>
              <w:ind w:left="210" w:hanging="220" w:hanging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知识技能、能力培养、思想教育的要求明确、恰当、可行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教学内容</w:t>
            </w:r>
          </w:p>
        </w:tc>
        <w:tc>
          <w:tcPr>
            <w:tcW w:w="780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学习情境的创设、有利于学生职业和心理健康发展，培养目标实现和职业素养提升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15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教学内容的选择和处理科学，及时反映新知识、新技术，能激发学生学习兴趣，适应学生水平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注重工学结合，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注重引入企业应用案例，教学内容贴近岗位和专业，把职业素质、创新教育等内容融入课堂。</w:t>
            </w:r>
          </w:p>
        </w:tc>
        <w:tc>
          <w:tcPr>
            <w:tcW w:w="71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280" w:lineRule="exact"/>
              <w:jc w:val="left"/>
            </w:pPr>
          </w:p>
        </w:tc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78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通过应用卓智平台相关功能，在其他教学软、硬件设备的辅助下，较好的完成课堂教学工作。</w:t>
            </w:r>
          </w:p>
        </w:tc>
        <w:tc>
          <w:tcPr>
            <w:tcW w:w="71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教学过程</w:t>
            </w:r>
          </w:p>
        </w:tc>
        <w:tc>
          <w:tcPr>
            <w:tcW w:w="78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导向目标、教学思路清晰，环节清楚，结构严谨，密度合理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 w:eastAsia="微软雅黑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15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突出重点抓关键，体现知识技能形成过程，引导学生自悟发现、发展结论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注重学生学习动机、兴趣、习惯、信心和品德等非智力因素培养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宋体" w:hAnsi="宋体" w:eastAsia="微软雅黑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充分利用信息化教学平台，信息化教学资源、有效实施课前预习、课中教学、课后作业布置、讨论等教学环节，优化教学手段与方法，提升课堂教学效果。</w:t>
            </w:r>
          </w:p>
        </w:tc>
        <w:tc>
          <w:tcPr>
            <w:tcW w:w="71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 w:eastAsia="微软雅黑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教学方法</w:t>
            </w:r>
          </w:p>
        </w:tc>
        <w:tc>
          <w:tcPr>
            <w:tcW w:w="78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教学方法灵活多样，符合目标、内容和学生实际，学习方法指导于教学之中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ind w:left="210" w:hanging="220" w:hangingChars="1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开展学生自主学习探究活动，为每个学生提供平等参与机会，采用积极多样的素质能力评价方式，反馈及时，矫正奏效，自主学习时间安排合理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突出职业教育特点，进行教学模式创新，效果好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对学生学习活动的组织、指导，有目的性、针对性、层次性、适合学生的特点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教师素质</w:t>
            </w:r>
          </w:p>
        </w:tc>
        <w:tc>
          <w:tcPr>
            <w:tcW w:w="7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教风严谨，情绪饱满、热情，有亲和力，展现高尚职业情操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语言流畅、简练、准确，有激励性和启发性，有感染力，课堂应变和调控课堂能力强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板书清晰简洁、层次清楚、重点突出，教师示范作用强（理论课），实操准确熟练（实训课）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熟练运用信息化教学设备、仪器和软件，开展课堂教学，体现教师信息化素养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  <w:lang w:eastAsia="zh-CN"/>
              </w:rPr>
              <w:t>课程思政</w:t>
            </w: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有课程思政的教学目标，能充分挖掘课程教学内容和教学方式中所蕴含的思政元素，并把思政元素巧妙的融入教学过程中，提高教书与育人的融合度。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学生主体性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学生参与活动态度</w:t>
            </w: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明确学习目标，关注问题情境，有主动学习的愿望和热情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主动参与学习过程，自主解决问题的过程鲜明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学生参与广度与深度</w:t>
            </w: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积极参与学习活动人数多，层次广，方式恰当，时间充分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学生能提出有意义的问题或能发表独到见解，能独立按要求标准正确操作，解决问题，能自主完成操作或练习</w:t>
            </w: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教学效果</w:t>
            </w:r>
          </w:p>
        </w:tc>
        <w:tc>
          <w:tcPr>
            <w:tcW w:w="7807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教学目标达成度高，每个学生均有不同程度收获，学生会学，主动学，课堂气氛活跃，教学有特色，有创新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等级与总分</w:t>
            </w:r>
          </w:p>
        </w:tc>
        <w:tc>
          <w:tcPr>
            <w:tcW w:w="9227" w:type="dxa"/>
            <w:gridSpan w:val="6"/>
            <w:noWrap w:val="0"/>
            <w:vAlign w:val="center"/>
          </w:tcPr>
          <w:p>
            <w:pPr>
              <w:ind w:firstLine="330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得分：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  注</w:t>
            </w:r>
          </w:p>
        </w:tc>
        <w:tc>
          <w:tcPr>
            <w:tcW w:w="9227" w:type="dxa"/>
            <w:gridSpan w:val="6"/>
            <w:noWrap w:val="0"/>
            <w:vAlign w:val="center"/>
          </w:tcPr>
          <w:p>
            <w:pPr>
              <w:ind w:firstLine="330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得分</w:t>
            </w:r>
            <w:r>
              <w:rPr>
                <w:rFonts w:ascii="宋体" w:hAnsi="宋体"/>
                <w:color w:val="000000"/>
                <w:szCs w:val="21"/>
              </w:rPr>
              <w:t>90—100</w:t>
            </w:r>
            <w:r>
              <w:rPr>
                <w:rFonts w:hint="eastAsia" w:ascii="宋体" w:hAnsi="宋体"/>
                <w:color w:val="000000"/>
                <w:szCs w:val="21"/>
              </w:rPr>
              <w:t>为优秀；</w:t>
            </w:r>
            <w:r>
              <w:rPr>
                <w:rFonts w:ascii="宋体" w:hAnsi="宋体"/>
                <w:color w:val="000000"/>
                <w:szCs w:val="21"/>
              </w:rPr>
              <w:t>75—89</w:t>
            </w:r>
            <w:r>
              <w:rPr>
                <w:rFonts w:hint="eastAsia" w:ascii="宋体" w:hAnsi="宋体"/>
                <w:color w:val="000000"/>
                <w:szCs w:val="21"/>
              </w:rPr>
              <w:t>为良好；</w:t>
            </w:r>
            <w:r>
              <w:rPr>
                <w:rFonts w:ascii="宋体" w:hAnsi="宋体"/>
                <w:color w:val="000000"/>
                <w:szCs w:val="21"/>
              </w:rPr>
              <w:t>60-74</w:t>
            </w:r>
            <w:r>
              <w:rPr>
                <w:rFonts w:hint="eastAsia" w:ascii="宋体" w:hAnsi="宋体"/>
                <w:color w:val="000000"/>
                <w:szCs w:val="21"/>
              </w:rPr>
              <w:t>为合格，低于</w:t>
            </w:r>
            <w:r>
              <w:rPr>
                <w:rFonts w:ascii="宋体" w:hAnsi="宋体"/>
                <w:color w:val="000000"/>
                <w:szCs w:val="21"/>
              </w:rPr>
              <w:t>60</w:t>
            </w:r>
            <w:r>
              <w:rPr>
                <w:rFonts w:hint="eastAsia" w:ascii="宋体" w:hAnsi="宋体"/>
                <w:color w:val="000000"/>
                <w:szCs w:val="21"/>
              </w:rPr>
              <w:t>分不合格。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745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如果您对本次授课还有其他建议，请在此处填写：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2CE10CA1-D16C-444A-B878-507BD038AB9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5E98B9C-D748-408B-836B-D94446C145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801D341-3284-48A7-85C7-0A644E2E7F9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6EB07"/>
    <w:multiLevelType w:val="singleLevel"/>
    <w:tmpl w:val="CC06EB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6E60"/>
    <w:rsid w:val="00251FC2"/>
    <w:rsid w:val="00317CF0"/>
    <w:rsid w:val="00323B43"/>
    <w:rsid w:val="003D37D8"/>
    <w:rsid w:val="00426133"/>
    <w:rsid w:val="004358AB"/>
    <w:rsid w:val="004C734C"/>
    <w:rsid w:val="004E5154"/>
    <w:rsid w:val="0052694C"/>
    <w:rsid w:val="00656F2D"/>
    <w:rsid w:val="007B2665"/>
    <w:rsid w:val="008A7E43"/>
    <w:rsid w:val="008B7726"/>
    <w:rsid w:val="009239AA"/>
    <w:rsid w:val="00BA66FD"/>
    <w:rsid w:val="00BF3799"/>
    <w:rsid w:val="00C0278D"/>
    <w:rsid w:val="00C14EED"/>
    <w:rsid w:val="00D00E40"/>
    <w:rsid w:val="00D31D50"/>
    <w:rsid w:val="00D374FA"/>
    <w:rsid w:val="00D66B4D"/>
    <w:rsid w:val="00DA6395"/>
    <w:rsid w:val="00DB799E"/>
    <w:rsid w:val="02BD0434"/>
    <w:rsid w:val="15236F69"/>
    <w:rsid w:val="18DC06A6"/>
    <w:rsid w:val="1A206538"/>
    <w:rsid w:val="238F4A63"/>
    <w:rsid w:val="25022F7D"/>
    <w:rsid w:val="2C124439"/>
    <w:rsid w:val="45530A8B"/>
    <w:rsid w:val="46AE3099"/>
    <w:rsid w:val="48FC47F1"/>
    <w:rsid w:val="4CB10A45"/>
    <w:rsid w:val="4F70382C"/>
    <w:rsid w:val="50740098"/>
    <w:rsid w:val="7CE43A74"/>
    <w:rsid w:val="7DD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3D456-D565-4872-9F98-13B26CC27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993</Characters>
  <Lines>8</Lines>
  <Paragraphs>2</Paragraphs>
  <TotalTime>10</TotalTime>
  <ScaleCrop>false</ScaleCrop>
  <LinksUpToDate>false</LinksUpToDate>
  <CharactersWithSpaces>1165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山抹微云</cp:lastModifiedBy>
  <cp:lastPrinted>2020-06-08T00:38:00Z</cp:lastPrinted>
  <dcterms:modified xsi:type="dcterms:W3CDTF">2020-06-08T03:13:39Z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